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388D16">
      <w:pPr>
        <w:pStyle w:val="5"/>
        <w:numPr>
          <w:ilvl w:val="0"/>
          <w:numId w:val="1"/>
        </w:numPr>
        <w:shd w:val="clear" w:color="auto" w:fill="FFFFFF"/>
        <w:spacing w:before="0" w:beforeAutospacing="0" w:after="0" w:afterAutospacing="0"/>
        <w:rPr>
          <w:rFonts w:hint="eastAsia" w:ascii="微软雅黑" w:hAnsi="微软雅黑" w:eastAsia="微软雅黑"/>
          <w:b/>
          <w:bCs/>
          <w:sz w:val="18"/>
          <w:szCs w:val="18"/>
        </w:rPr>
      </w:pPr>
      <w:bookmarkStart w:id="7" w:name="_GoBack"/>
      <w:bookmarkEnd w:id="7"/>
      <w:r>
        <w:rPr>
          <w:rFonts w:ascii="微软雅黑" w:hAnsi="微软雅黑" w:eastAsia="微软雅黑"/>
          <w:b/>
          <w:bCs/>
          <w:sz w:val="18"/>
          <w:szCs w:val="18"/>
        </w:rPr>
        <w:t>被保险人目前或曾经是否患有下列疾病：</w:t>
      </w:r>
    </w:p>
    <w:p w14:paraId="379A8698">
      <w:pPr>
        <w:pStyle w:val="5"/>
        <w:shd w:val="clear" w:color="auto" w:fill="FFFFFF"/>
        <w:spacing w:before="0" w:beforeAutospacing="0" w:after="0" w:afterAutospacing="0"/>
        <w:rPr>
          <w:rFonts w:hint="eastAsia" w:ascii="微软雅黑" w:hAnsi="微软雅黑" w:eastAsia="微软雅黑"/>
          <w:sz w:val="18"/>
          <w:szCs w:val="18"/>
        </w:rPr>
      </w:pPr>
      <w:r>
        <w:rPr>
          <w:rFonts w:hint="eastAsia" w:ascii="微软雅黑" w:hAnsi="微软雅黑" w:eastAsia="微软雅黑"/>
          <w:b/>
          <w:bCs/>
          <w:sz w:val="18"/>
          <w:szCs w:val="18"/>
        </w:rPr>
        <w:t>肿瘤：</w:t>
      </w:r>
      <w:r>
        <w:rPr>
          <w:rFonts w:hint="eastAsia" w:ascii="微软雅黑" w:hAnsi="微软雅黑" w:eastAsia="微软雅黑"/>
          <w:sz w:val="18"/>
          <w:szCs w:val="18"/>
        </w:rPr>
        <w:t>恶性肿瘤（</w:t>
      </w:r>
      <w:bookmarkStart w:id="0" w:name="OLE_LINK10"/>
      <w:r>
        <w:rPr>
          <w:rFonts w:hint="eastAsia" w:ascii="微软雅黑" w:hAnsi="微软雅黑" w:eastAsia="微软雅黑"/>
          <w:sz w:val="18"/>
          <w:szCs w:val="18"/>
        </w:rPr>
        <w:t>含</w:t>
      </w:r>
      <w:bookmarkEnd w:id="0"/>
      <w:r>
        <w:rPr>
          <w:rFonts w:hint="eastAsia" w:ascii="微软雅黑" w:hAnsi="微软雅黑" w:eastAsia="微软雅黑"/>
          <w:sz w:val="18"/>
          <w:szCs w:val="18"/>
        </w:rPr>
        <w:t>原位癌）、</w:t>
      </w:r>
      <w:bookmarkStart w:id="1" w:name="OLE_LINK6"/>
      <w:r>
        <w:rPr>
          <w:rFonts w:hint="eastAsia" w:ascii="微软雅黑" w:hAnsi="微软雅黑" w:eastAsia="微软雅黑"/>
          <w:sz w:val="18"/>
          <w:szCs w:val="18"/>
        </w:rPr>
        <w:t>交界性肿瘤或动态未定性肿瘤、宫颈上皮内瘤变；</w:t>
      </w:r>
    </w:p>
    <w:p w14:paraId="419A4881">
      <w:pPr>
        <w:pStyle w:val="5"/>
        <w:shd w:val="clear" w:color="auto" w:fill="FFFFFF"/>
        <w:spacing w:before="0" w:beforeAutospacing="0" w:after="0" w:afterAutospacing="0"/>
        <w:rPr>
          <w:rFonts w:hint="eastAsia" w:ascii="微软雅黑" w:hAnsi="微软雅黑" w:eastAsia="微软雅黑"/>
          <w:sz w:val="18"/>
          <w:szCs w:val="18"/>
        </w:rPr>
      </w:pPr>
      <w:r>
        <w:rPr>
          <w:rFonts w:hint="eastAsia" w:ascii="微软雅黑" w:hAnsi="微软雅黑" w:eastAsia="微软雅黑"/>
          <w:b/>
          <w:bCs/>
          <w:sz w:val="18"/>
          <w:szCs w:val="18"/>
        </w:rPr>
        <w:t>肿物与息肉：</w:t>
      </w:r>
      <w:bookmarkEnd w:id="1"/>
      <w:r>
        <w:rPr>
          <w:rFonts w:hint="eastAsia" w:ascii="微软雅黑" w:hAnsi="微软雅黑" w:eastAsia="微软雅黑"/>
          <w:sz w:val="18"/>
          <w:szCs w:val="18"/>
        </w:rPr>
        <w:t>肝脏结节或占位、颅内肿瘤或占位、脊髓肿瘤或占位；</w:t>
      </w:r>
    </w:p>
    <w:p w14:paraId="33999B82">
      <w:pPr>
        <w:pStyle w:val="5"/>
        <w:shd w:val="clear" w:color="auto" w:fill="FFFFFF"/>
        <w:spacing w:before="0" w:beforeAutospacing="0" w:after="0" w:afterAutospacing="0"/>
        <w:rPr>
          <w:rFonts w:hint="eastAsia" w:ascii="微软雅黑" w:hAnsi="微软雅黑" w:eastAsia="微软雅黑"/>
          <w:sz w:val="18"/>
          <w:szCs w:val="18"/>
        </w:rPr>
      </w:pPr>
      <w:bookmarkStart w:id="2" w:name="OLE_LINK5"/>
      <w:r>
        <w:rPr>
          <w:rFonts w:hint="eastAsia" w:ascii="微软雅黑" w:hAnsi="微软雅黑" w:eastAsia="微软雅黑"/>
          <w:b/>
          <w:bCs/>
          <w:sz w:val="18"/>
          <w:szCs w:val="18"/>
        </w:rPr>
        <w:t>高血压/糖尿病：</w:t>
      </w:r>
      <w:r>
        <w:rPr>
          <w:rFonts w:hint="eastAsia" w:ascii="微软雅黑" w:hAnsi="微软雅黑" w:eastAsia="微软雅黑"/>
          <w:sz w:val="18"/>
          <w:szCs w:val="18"/>
        </w:rPr>
        <w:t>高血压3级(收缩压</w:t>
      </w:r>
      <w:r>
        <w:rPr>
          <w:rFonts w:ascii="Arial" w:hAnsi="Arial" w:eastAsia="微软雅黑" w:cs="Arial"/>
          <w:sz w:val="18"/>
          <w:szCs w:val="18"/>
        </w:rPr>
        <w:t>≥</w:t>
      </w:r>
      <w:r>
        <w:rPr>
          <w:rFonts w:hint="eastAsia" w:ascii="微软雅黑" w:hAnsi="微软雅黑" w:eastAsia="微软雅黑"/>
          <w:sz w:val="18"/>
          <w:szCs w:val="18"/>
        </w:rPr>
        <w:t>180mmHg或舒张压</w:t>
      </w:r>
      <w:r>
        <w:rPr>
          <w:rFonts w:ascii="Arial" w:hAnsi="Arial" w:eastAsia="微软雅黑" w:cs="Arial"/>
          <w:sz w:val="18"/>
          <w:szCs w:val="18"/>
        </w:rPr>
        <w:t>≥</w:t>
      </w:r>
      <w:r>
        <w:rPr>
          <w:rFonts w:hint="eastAsia" w:ascii="微软雅黑" w:hAnsi="微软雅黑" w:eastAsia="微软雅黑"/>
          <w:sz w:val="18"/>
          <w:szCs w:val="18"/>
        </w:rPr>
        <w:t>110mmHg)或高血压伴有并发症、糖尿病</w:t>
      </w:r>
      <w:bookmarkEnd w:id="2"/>
      <w:r>
        <w:rPr>
          <w:rFonts w:hint="eastAsia" w:ascii="微软雅黑" w:hAnsi="微软雅黑" w:eastAsia="微软雅黑"/>
          <w:sz w:val="18"/>
          <w:szCs w:val="18"/>
        </w:rPr>
        <w:t>；</w:t>
      </w:r>
    </w:p>
    <w:p w14:paraId="5C0EDF7F">
      <w:pPr>
        <w:pStyle w:val="5"/>
        <w:shd w:val="clear" w:color="auto" w:fill="FFFFFF"/>
        <w:spacing w:before="0" w:beforeAutospacing="0" w:after="0" w:afterAutospacing="0"/>
        <w:rPr>
          <w:rFonts w:hint="eastAsia" w:ascii="微软雅黑" w:hAnsi="微软雅黑" w:eastAsia="微软雅黑"/>
          <w:sz w:val="18"/>
          <w:szCs w:val="18"/>
        </w:rPr>
      </w:pPr>
      <w:r>
        <w:rPr>
          <w:rFonts w:hint="eastAsia" w:ascii="微软雅黑" w:hAnsi="微软雅黑" w:eastAsia="微软雅黑"/>
          <w:b/>
          <w:bCs/>
          <w:sz w:val="18"/>
          <w:szCs w:val="18"/>
        </w:rPr>
        <w:t>脑血管及神经系统疾病：</w:t>
      </w:r>
      <w:r>
        <w:rPr>
          <w:rFonts w:hint="eastAsia" w:ascii="微软雅黑" w:hAnsi="微软雅黑" w:eastAsia="微软雅黑"/>
          <w:sz w:val="18"/>
          <w:szCs w:val="18"/>
        </w:rPr>
        <w:t>脑中风（含脑缺血、脑出血、脑梗死）、脑血管畸形或脑血管瘤、</w:t>
      </w:r>
      <w:bookmarkStart w:id="3" w:name="OLE_LINK12"/>
      <w:r>
        <w:rPr>
          <w:rFonts w:hint="eastAsia" w:ascii="微软雅黑" w:hAnsi="微软雅黑" w:eastAsia="微软雅黑"/>
          <w:sz w:val="18"/>
          <w:szCs w:val="18"/>
        </w:rPr>
        <w:t>癫痫、阿尔茨海默病、帕金森病</w:t>
      </w:r>
      <w:bookmarkEnd w:id="3"/>
      <w:r>
        <w:rPr>
          <w:rFonts w:hint="eastAsia" w:ascii="微软雅黑" w:hAnsi="微软雅黑" w:eastAsia="微软雅黑"/>
          <w:sz w:val="18"/>
          <w:szCs w:val="18"/>
        </w:rPr>
        <w:t>、</w:t>
      </w:r>
      <w:r>
        <w:rPr>
          <w:rFonts w:ascii="微软雅黑" w:hAnsi="微软雅黑" w:eastAsia="微软雅黑"/>
          <w:sz w:val="18"/>
          <w:szCs w:val="18"/>
        </w:rPr>
        <w:t>运动神经元病</w:t>
      </w:r>
      <w:r>
        <w:rPr>
          <w:rFonts w:hint="eastAsia" w:ascii="微软雅黑" w:hAnsi="微软雅黑" w:eastAsia="微软雅黑"/>
          <w:sz w:val="18"/>
          <w:szCs w:val="18"/>
        </w:rPr>
        <w:t>；</w:t>
      </w:r>
    </w:p>
    <w:p w14:paraId="0BFF905B">
      <w:pPr>
        <w:pStyle w:val="5"/>
        <w:shd w:val="clear" w:color="auto" w:fill="FFFFFF"/>
        <w:spacing w:before="0" w:beforeAutospacing="0" w:after="0" w:afterAutospacing="0"/>
        <w:rPr>
          <w:rFonts w:hint="eastAsia" w:ascii="微软雅黑" w:hAnsi="微软雅黑" w:eastAsia="微软雅黑"/>
          <w:sz w:val="18"/>
          <w:szCs w:val="18"/>
        </w:rPr>
      </w:pPr>
      <w:r>
        <w:rPr>
          <w:rFonts w:hint="eastAsia" w:ascii="微软雅黑" w:hAnsi="微软雅黑" w:eastAsia="微软雅黑"/>
          <w:b/>
          <w:bCs/>
          <w:sz w:val="18"/>
          <w:szCs w:val="18"/>
        </w:rPr>
        <w:t>心脏病：</w:t>
      </w:r>
      <w:r>
        <w:rPr>
          <w:rFonts w:hint="eastAsia" w:ascii="微软雅黑" w:hAnsi="微软雅黑" w:eastAsia="微软雅黑"/>
          <w:sz w:val="18"/>
          <w:szCs w:val="18"/>
        </w:rPr>
        <w:t>冠心病、心肌梗死、心脏瓣膜病、心肌病、心功能不全二级（含）以上、先天性心脏病、肺动脉高压、主动脉夹层/瘤；</w:t>
      </w:r>
    </w:p>
    <w:p w14:paraId="48C3CCE7">
      <w:pPr>
        <w:pStyle w:val="5"/>
        <w:shd w:val="clear" w:color="auto" w:fill="FFFFFF"/>
        <w:spacing w:before="0" w:beforeAutospacing="0" w:after="0" w:afterAutospacing="0"/>
        <w:rPr>
          <w:rFonts w:hint="eastAsia" w:ascii="微软雅黑" w:hAnsi="微软雅黑" w:eastAsia="微软雅黑"/>
          <w:sz w:val="18"/>
          <w:szCs w:val="18"/>
        </w:rPr>
      </w:pPr>
      <w:r>
        <w:rPr>
          <w:rFonts w:hint="eastAsia" w:ascii="微软雅黑" w:hAnsi="微软雅黑" w:eastAsia="微软雅黑"/>
          <w:b/>
          <w:bCs/>
          <w:sz w:val="18"/>
          <w:szCs w:val="18"/>
        </w:rPr>
        <w:t>肺病：</w:t>
      </w:r>
      <w:r>
        <w:rPr>
          <w:rFonts w:hint="eastAsia" w:ascii="微软雅黑" w:hAnsi="微软雅黑" w:eastAsia="微软雅黑"/>
          <w:sz w:val="18"/>
          <w:szCs w:val="18"/>
        </w:rPr>
        <w:t>慢性阻塞性肺病（含肺气肿、慢性支气管炎</w:t>
      </w:r>
      <w:bookmarkStart w:id="4" w:name="OLE_LINK3"/>
      <w:r>
        <w:rPr>
          <w:rFonts w:hint="eastAsia" w:ascii="微软雅黑" w:hAnsi="微软雅黑" w:eastAsia="微软雅黑"/>
          <w:sz w:val="18"/>
          <w:szCs w:val="18"/>
        </w:rPr>
        <w:t>）</w:t>
      </w:r>
      <w:bookmarkEnd w:id="4"/>
      <w:r>
        <w:rPr>
          <w:rFonts w:hint="eastAsia" w:ascii="微软雅黑" w:hAnsi="微软雅黑" w:eastAsia="微软雅黑"/>
          <w:sz w:val="18"/>
          <w:szCs w:val="18"/>
        </w:rPr>
        <w:t>、肺纤维化；</w:t>
      </w:r>
    </w:p>
    <w:p w14:paraId="0915CCDF">
      <w:pPr>
        <w:pStyle w:val="5"/>
        <w:shd w:val="clear" w:color="auto" w:fill="FFFFFF"/>
        <w:spacing w:before="0" w:beforeAutospacing="0" w:after="0" w:afterAutospacing="0"/>
        <w:rPr>
          <w:rFonts w:hint="eastAsia" w:ascii="微软雅黑" w:hAnsi="微软雅黑" w:eastAsia="微软雅黑"/>
          <w:sz w:val="18"/>
          <w:szCs w:val="18"/>
        </w:rPr>
      </w:pPr>
      <w:r>
        <w:rPr>
          <w:rFonts w:hint="eastAsia" w:ascii="微软雅黑" w:hAnsi="微软雅黑" w:eastAsia="微软雅黑"/>
          <w:b/>
          <w:bCs/>
          <w:sz w:val="18"/>
          <w:szCs w:val="18"/>
        </w:rPr>
        <w:t>肝肾及消化系统疾病：</w:t>
      </w:r>
      <w:r>
        <w:rPr>
          <w:rFonts w:hint="eastAsia" w:ascii="微软雅黑" w:hAnsi="微软雅黑" w:eastAsia="微软雅黑"/>
          <w:sz w:val="18"/>
          <w:szCs w:val="18"/>
        </w:rPr>
        <w:t>慢性肝炎、肝硬化</w:t>
      </w:r>
      <w:bookmarkStart w:id="5" w:name="OLE_LINK2"/>
      <w:r>
        <w:rPr>
          <w:rFonts w:hint="eastAsia" w:ascii="微软雅黑" w:hAnsi="微软雅黑" w:eastAsia="微软雅黑"/>
          <w:sz w:val="18"/>
          <w:szCs w:val="18"/>
        </w:rPr>
        <w:t>、肝功能衰竭、慢性肾病、肾功能不全</w:t>
      </w:r>
      <w:bookmarkEnd w:id="5"/>
      <w:bookmarkStart w:id="6" w:name="OLE_LINK1"/>
      <w:r>
        <w:rPr>
          <w:rFonts w:hint="eastAsia" w:ascii="微软雅黑" w:hAnsi="微软雅黑" w:eastAsia="微软雅黑"/>
          <w:sz w:val="18"/>
          <w:szCs w:val="18"/>
        </w:rPr>
        <w:t>、克罗恩病、溃疡性结肠炎；</w:t>
      </w:r>
    </w:p>
    <w:p w14:paraId="71CAAE50">
      <w:pPr>
        <w:pStyle w:val="5"/>
        <w:shd w:val="clear" w:color="auto" w:fill="FFFFFF"/>
        <w:spacing w:before="0" w:beforeAutospacing="0" w:after="0" w:afterAutospacing="0"/>
        <w:rPr>
          <w:rFonts w:hint="eastAsia" w:ascii="微软雅黑" w:hAnsi="微软雅黑" w:eastAsia="微软雅黑"/>
          <w:sz w:val="18"/>
          <w:szCs w:val="18"/>
        </w:rPr>
      </w:pPr>
      <w:r>
        <w:rPr>
          <w:rFonts w:hint="eastAsia" w:ascii="微软雅黑" w:hAnsi="微软雅黑" w:eastAsia="微软雅黑"/>
          <w:b/>
          <w:bCs/>
          <w:sz w:val="18"/>
          <w:szCs w:val="18"/>
        </w:rPr>
        <w:t>其他：</w:t>
      </w:r>
      <w:r>
        <w:rPr>
          <w:rFonts w:hint="eastAsia" w:ascii="微软雅黑" w:hAnsi="微软雅黑" w:eastAsia="微软雅黑"/>
          <w:sz w:val="18"/>
          <w:szCs w:val="18"/>
        </w:rPr>
        <w:t>动脉瘤、再障性贫血、骨髓增生异常、噬血细胞综合征、类风湿性关节炎、系统性红斑狼疮、瘫痪、艾滋病或艾滋病毒携带、</w:t>
      </w:r>
      <w:bookmarkEnd w:id="6"/>
      <w:r>
        <w:rPr>
          <w:rFonts w:hint="eastAsia" w:ascii="微软雅黑" w:hAnsi="微软雅黑" w:eastAsia="微软雅黑"/>
          <w:sz w:val="18"/>
          <w:szCs w:val="18"/>
        </w:rPr>
        <w:t>器官移植。</w:t>
      </w:r>
    </w:p>
    <w:p w14:paraId="25357514">
      <w:pPr>
        <w:pStyle w:val="5"/>
        <w:shd w:val="clear" w:color="auto" w:fill="FFFFFF"/>
        <w:spacing w:before="0" w:beforeAutospacing="0" w:after="0" w:afterAutospacing="0"/>
        <w:rPr>
          <w:rFonts w:hint="eastAsia" w:ascii="微软雅黑" w:hAnsi="微软雅黑" w:eastAsia="微软雅黑"/>
          <w:sz w:val="18"/>
          <w:szCs w:val="18"/>
        </w:rPr>
      </w:pPr>
    </w:p>
    <w:p w14:paraId="0ED94953">
      <w:pPr>
        <w:pStyle w:val="5"/>
        <w:numPr>
          <w:ilvl w:val="0"/>
          <w:numId w:val="1"/>
        </w:numPr>
        <w:shd w:val="clear" w:color="auto" w:fill="FFFFFF"/>
        <w:spacing w:before="0" w:beforeAutospacing="0" w:after="0" w:afterAutospacing="0"/>
        <w:rPr>
          <w:rFonts w:hint="eastAsia" w:ascii="微软雅黑" w:hAnsi="微软雅黑" w:eastAsia="微软雅黑"/>
          <w:b/>
          <w:bCs/>
          <w:sz w:val="18"/>
          <w:szCs w:val="18"/>
        </w:rPr>
      </w:pPr>
      <w:r>
        <w:rPr>
          <w:rFonts w:hint="eastAsia" w:ascii="微软雅黑" w:hAnsi="微软雅黑" w:eastAsia="微软雅黑"/>
          <w:b/>
          <w:bCs/>
          <w:sz w:val="18"/>
          <w:szCs w:val="18"/>
        </w:rPr>
        <w:t>被保险人过去1年内是否曾有检查结果异常（检查项目包括：CT、核磁共振、内窥镜、组织或细胞病理学检查、骨髓穿刺、血管造影、心电图提示心肌缺血/心房或心室肥大/严重心律失常、肺功能检查提示通气功能减退、X线提示肺纤维化/心脏增大/胸腔积液、超声提示肝纤维化/肝脾肿大/肝胆胰管梗阻/肾萎缩/肾积水、肿瘤标志物）？</w:t>
      </w:r>
    </w:p>
    <w:p w14:paraId="40DEAC73">
      <w:pPr>
        <w:pStyle w:val="5"/>
        <w:shd w:val="clear" w:color="auto" w:fill="FFFFFF"/>
        <w:spacing w:before="0" w:beforeAutospacing="0" w:after="0" w:afterAutospacing="0"/>
        <w:rPr>
          <w:rFonts w:hint="eastAsia" w:ascii="微软雅黑" w:hAnsi="微软雅黑" w:eastAsia="微软雅黑"/>
          <w:sz w:val="18"/>
          <w:szCs w:val="18"/>
        </w:rPr>
      </w:pPr>
    </w:p>
    <w:p w14:paraId="398A9391">
      <w:pPr>
        <w:pStyle w:val="5"/>
        <w:numPr>
          <w:ilvl w:val="0"/>
          <w:numId w:val="1"/>
        </w:numPr>
        <w:shd w:val="clear" w:color="auto" w:fill="FFFFFF"/>
        <w:spacing w:before="0" w:beforeAutospacing="0" w:after="0" w:afterAutospacing="0"/>
        <w:rPr>
          <w:rFonts w:hint="eastAsia" w:ascii="微软雅黑" w:hAnsi="微软雅黑" w:eastAsia="微软雅黑"/>
          <w:b/>
          <w:bCs/>
          <w:sz w:val="18"/>
          <w:szCs w:val="18"/>
        </w:rPr>
      </w:pPr>
      <w:r>
        <w:rPr>
          <w:rFonts w:hint="eastAsia" w:ascii="微软雅黑" w:hAnsi="微软雅黑" w:eastAsia="微软雅黑"/>
          <w:b/>
          <w:bCs/>
          <w:sz w:val="18"/>
          <w:szCs w:val="18"/>
        </w:rPr>
        <w:t>过去</w:t>
      </w:r>
      <w:r>
        <w:rPr>
          <w:rFonts w:ascii="微软雅黑" w:hAnsi="微软雅黑" w:eastAsia="微软雅黑"/>
          <w:b/>
          <w:bCs/>
          <w:sz w:val="18"/>
          <w:szCs w:val="18"/>
        </w:rPr>
        <w:t>2年内，被保险人是否曾接受过住院</w:t>
      </w:r>
      <w:r>
        <w:rPr>
          <w:rFonts w:hint="eastAsia" w:ascii="微软雅黑" w:hAnsi="微软雅黑" w:eastAsia="微软雅黑"/>
          <w:b/>
          <w:bCs/>
          <w:sz w:val="18"/>
          <w:szCs w:val="18"/>
        </w:rPr>
        <w:t>或</w:t>
      </w:r>
      <w:r>
        <w:rPr>
          <w:rFonts w:ascii="微软雅黑" w:hAnsi="微软雅黑" w:eastAsia="微软雅黑"/>
          <w:b/>
          <w:bCs/>
          <w:sz w:val="18"/>
          <w:szCs w:val="18"/>
        </w:rPr>
        <w:t>手术？</w:t>
      </w:r>
    </w:p>
    <w:p w14:paraId="144BE8B6">
      <w:pPr>
        <w:pStyle w:val="5"/>
        <w:shd w:val="clear" w:color="auto" w:fill="FFFFFF"/>
        <w:spacing w:before="0" w:beforeAutospacing="0" w:after="0" w:afterAutospacing="0"/>
        <w:rPr>
          <w:rFonts w:hint="eastAsia" w:ascii="微软雅黑" w:hAnsi="微软雅黑" w:eastAsia="微软雅黑"/>
          <w:sz w:val="18"/>
          <w:szCs w:val="18"/>
        </w:rPr>
      </w:pPr>
    </w:p>
    <w:p w14:paraId="3F2B4916">
      <w:pPr>
        <w:pStyle w:val="5"/>
        <w:numPr>
          <w:ilvl w:val="0"/>
          <w:numId w:val="1"/>
        </w:numPr>
        <w:shd w:val="clear" w:color="auto" w:fill="FFFFFF"/>
        <w:spacing w:before="0" w:beforeAutospacing="0" w:after="0" w:afterAutospacing="0"/>
        <w:rPr>
          <w:rFonts w:hint="eastAsia" w:ascii="微软雅黑" w:hAnsi="微软雅黑" w:eastAsia="微软雅黑"/>
          <w:sz w:val="18"/>
          <w:szCs w:val="18"/>
        </w:rPr>
      </w:pPr>
      <w:r>
        <w:rPr>
          <w:rFonts w:ascii="微软雅黑" w:hAnsi="微软雅黑" w:eastAsia="微软雅黑"/>
          <w:b/>
          <w:bCs/>
          <w:sz w:val="18"/>
          <w:szCs w:val="18"/>
        </w:rPr>
        <w:t>被保险人是否</w:t>
      </w:r>
      <w:r>
        <w:rPr>
          <w:rFonts w:hint="eastAsia" w:ascii="微软雅黑" w:hAnsi="微软雅黑" w:eastAsia="微软雅黑"/>
          <w:b/>
          <w:bCs/>
          <w:sz w:val="18"/>
          <w:szCs w:val="18"/>
        </w:rPr>
        <w:t>没有符合如下全部条件的同业个人商业医疗保险？</w:t>
      </w:r>
    </w:p>
    <w:p w14:paraId="5A21A248">
      <w:pPr>
        <w:pStyle w:val="5"/>
        <w:numPr>
          <w:ilvl w:val="0"/>
          <w:numId w:val="2"/>
        </w:numPr>
        <w:shd w:val="clear" w:color="auto" w:fill="FFFFFF"/>
        <w:spacing w:before="0" w:beforeAutospacing="0" w:after="0" w:afterAutospacing="0"/>
        <w:rPr>
          <w:rFonts w:hint="eastAsia" w:ascii="微软雅黑" w:hAnsi="微软雅黑" w:eastAsia="微软雅黑"/>
          <w:sz w:val="18"/>
          <w:szCs w:val="18"/>
        </w:rPr>
      </w:pPr>
      <w:r>
        <w:rPr>
          <w:rFonts w:hint="eastAsia" w:ascii="微软雅黑" w:hAnsi="微软雅黑" w:eastAsia="微软雅黑"/>
          <w:sz w:val="18"/>
          <w:szCs w:val="18"/>
        </w:rPr>
        <w:t>保单生效中且已过产品等待期，或保单已期满但未超过30天；</w:t>
      </w:r>
      <w:r>
        <w:rPr>
          <w:rFonts w:ascii="微软雅黑" w:hAnsi="微软雅黑" w:eastAsia="微软雅黑"/>
          <w:sz w:val="18"/>
          <w:szCs w:val="18"/>
        </w:rPr>
        <w:t xml:space="preserve"> </w:t>
      </w:r>
    </w:p>
    <w:p w14:paraId="575B97EB">
      <w:pPr>
        <w:pStyle w:val="5"/>
        <w:numPr>
          <w:ilvl w:val="0"/>
          <w:numId w:val="2"/>
        </w:numPr>
        <w:shd w:val="clear" w:color="auto" w:fill="FFFFFF"/>
        <w:spacing w:before="0" w:beforeAutospacing="0" w:after="0" w:afterAutospacing="0"/>
        <w:rPr>
          <w:rFonts w:hint="eastAsia" w:ascii="微软雅黑" w:hAnsi="微软雅黑" w:eastAsia="微软雅黑"/>
          <w:sz w:val="18"/>
          <w:szCs w:val="18"/>
        </w:rPr>
      </w:pPr>
      <w:r>
        <w:rPr>
          <w:rFonts w:ascii="微软雅黑" w:hAnsi="微软雅黑" w:eastAsia="微软雅黑"/>
          <w:sz w:val="18"/>
          <w:szCs w:val="18"/>
        </w:rPr>
        <w:t>保险金额</w:t>
      </w:r>
      <w:r>
        <w:rPr>
          <w:rFonts w:hint="eastAsia" w:ascii="微软雅黑" w:hAnsi="微软雅黑" w:eastAsia="微软雅黑"/>
          <w:sz w:val="18"/>
          <w:szCs w:val="18"/>
        </w:rPr>
        <w:t xml:space="preserve"> ≥ </w:t>
      </w:r>
      <w:r>
        <w:rPr>
          <w:rFonts w:ascii="微软雅黑" w:hAnsi="微软雅黑" w:eastAsia="微软雅黑"/>
          <w:sz w:val="18"/>
          <w:szCs w:val="18"/>
        </w:rPr>
        <w:t>15 万元</w:t>
      </w:r>
      <w:r>
        <w:rPr>
          <w:rFonts w:hint="eastAsia" w:ascii="微软雅黑" w:hAnsi="微软雅黑" w:eastAsia="微软雅黑"/>
          <w:sz w:val="18"/>
          <w:szCs w:val="18"/>
        </w:rPr>
        <w:t xml:space="preserve"> </w:t>
      </w:r>
      <w:r>
        <w:rPr>
          <w:rFonts w:ascii="微软雅黑" w:hAnsi="微软雅黑" w:eastAsia="微软雅黑"/>
          <w:sz w:val="18"/>
          <w:szCs w:val="18"/>
        </w:rPr>
        <w:t>且</w:t>
      </w:r>
      <w:r>
        <w:rPr>
          <w:rFonts w:hint="eastAsia" w:ascii="微软雅黑" w:hAnsi="微软雅黑" w:eastAsia="微软雅黑"/>
          <w:sz w:val="18"/>
          <w:szCs w:val="18"/>
        </w:rPr>
        <w:t xml:space="preserve"> </w:t>
      </w:r>
      <w:r>
        <w:rPr>
          <w:rFonts w:ascii="微软雅黑" w:hAnsi="微软雅黑" w:eastAsia="微软雅黑"/>
          <w:sz w:val="18"/>
          <w:szCs w:val="18"/>
        </w:rPr>
        <w:t>免赔额</w:t>
      </w:r>
      <w:r>
        <w:rPr>
          <w:rFonts w:hint="eastAsia" w:ascii="微软雅黑" w:hAnsi="微软雅黑" w:eastAsia="微软雅黑"/>
          <w:sz w:val="18"/>
          <w:szCs w:val="18"/>
        </w:rPr>
        <w:t xml:space="preserve"> ≤ 1万</w:t>
      </w:r>
      <w:r>
        <w:rPr>
          <w:rFonts w:ascii="微软雅黑" w:hAnsi="微软雅黑" w:eastAsia="微软雅黑"/>
          <w:sz w:val="18"/>
          <w:szCs w:val="18"/>
        </w:rPr>
        <w:t>元</w:t>
      </w:r>
      <w:r>
        <w:rPr>
          <w:rFonts w:hint="eastAsia" w:ascii="微软雅黑" w:hAnsi="微软雅黑" w:eastAsia="微软雅黑"/>
          <w:sz w:val="18"/>
          <w:szCs w:val="18"/>
        </w:rPr>
        <w:t>；</w:t>
      </w:r>
    </w:p>
    <w:p w14:paraId="001BDB43">
      <w:pPr>
        <w:pStyle w:val="5"/>
        <w:numPr>
          <w:ilvl w:val="0"/>
          <w:numId w:val="2"/>
        </w:numPr>
        <w:shd w:val="clear" w:color="auto" w:fill="FFFFFF"/>
        <w:spacing w:before="0" w:beforeAutospacing="0" w:after="0" w:afterAutospacing="0"/>
        <w:rPr>
          <w:rFonts w:hint="eastAsia" w:ascii="微软雅黑" w:hAnsi="微软雅黑" w:eastAsia="微软雅黑"/>
          <w:sz w:val="18"/>
          <w:szCs w:val="18"/>
        </w:rPr>
      </w:pPr>
      <w:r>
        <w:rPr>
          <w:rFonts w:hint="eastAsia" w:ascii="微软雅黑" w:hAnsi="微软雅黑" w:eastAsia="微软雅黑"/>
          <w:sz w:val="18"/>
          <w:szCs w:val="18"/>
        </w:rPr>
        <w:t>保险责任包含但不限于一般住院医疗费用和恶性肿瘤或重大疾病住院医疗费用，并且</w:t>
      </w:r>
      <w:r>
        <w:rPr>
          <w:rFonts w:ascii="微软雅黑" w:hAnsi="微软雅黑" w:eastAsia="微软雅黑"/>
          <w:sz w:val="18"/>
          <w:szCs w:val="18"/>
        </w:rPr>
        <w:t>医疗费用涵盖医保目录内及医保目录外；</w:t>
      </w:r>
    </w:p>
    <w:p w14:paraId="47B74FD0">
      <w:pPr>
        <w:pStyle w:val="5"/>
        <w:numPr>
          <w:ilvl w:val="0"/>
          <w:numId w:val="2"/>
        </w:numPr>
        <w:shd w:val="clear" w:color="auto" w:fill="FFFFFF"/>
        <w:spacing w:before="0" w:beforeAutospacing="0" w:after="0" w:afterAutospacing="0"/>
        <w:rPr>
          <w:rFonts w:hint="eastAsia" w:ascii="微软雅黑" w:hAnsi="微软雅黑" w:eastAsia="微软雅黑"/>
          <w:sz w:val="18"/>
          <w:szCs w:val="18"/>
        </w:rPr>
      </w:pPr>
      <w:r>
        <w:rPr>
          <w:rFonts w:ascii="微软雅黑" w:hAnsi="微软雅黑" w:eastAsia="微软雅黑"/>
          <w:sz w:val="18"/>
          <w:szCs w:val="18"/>
        </w:rPr>
        <w:t>医疗网络涵盖公立医院普通部</w:t>
      </w:r>
      <w:r>
        <w:rPr>
          <w:rFonts w:hint="eastAsia" w:ascii="微软雅黑" w:hAnsi="微软雅黑" w:eastAsia="微软雅黑"/>
          <w:sz w:val="18"/>
          <w:szCs w:val="18"/>
        </w:rPr>
        <w:t>或</w:t>
      </w:r>
      <w:r>
        <w:rPr>
          <w:rFonts w:ascii="微软雅黑" w:hAnsi="微软雅黑" w:eastAsia="微软雅黑"/>
          <w:sz w:val="18"/>
          <w:szCs w:val="18"/>
        </w:rPr>
        <w:t>特需部</w:t>
      </w:r>
      <w:r>
        <w:rPr>
          <w:rFonts w:hint="eastAsia" w:ascii="微软雅黑" w:hAnsi="微软雅黑" w:eastAsia="微软雅黑"/>
          <w:sz w:val="18"/>
          <w:szCs w:val="18"/>
        </w:rPr>
        <w:t>；</w:t>
      </w:r>
    </w:p>
    <w:p w14:paraId="5E7DBA6D">
      <w:pPr>
        <w:pStyle w:val="5"/>
        <w:numPr>
          <w:ilvl w:val="0"/>
          <w:numId w:val="2"/>
        </w:numPr>
        <w:shd w:val="clear" w:color="auto" w:fill="FFFFFF"/>
        <w:spacing w:before="0" w:beforeAutospacing="0" w:after="0" w:afterAutospacing="0"/>
        <w:rPr>
          <w:rFonts w:hint="eastAsia" w:ascii="微软雅黑" w:hAnsi="微软雅黑" w:eastAsia="微软雅黑"/>
          <w:sz w:val="18"/>
          <w:szCs w:val="18"/>
        </w:rPr>
      </w:pPr>
      <w:r>
        <w:rPr>
          <w:rFonts w:hint="eastAsia" w:ascii="微软雅黑" w:hAnsi="微软雅黑" w:eastAsia="微软雅黑"/>
          <w:sz w:val="18"/>
          <w:szCs w:val="18"/>
        </w:rPr>
        <w:t>产品需个人健康告知，并且被保险人符合</w:t>
      </w:r>
      <w:r>
        <w:rPr>
          <w:rFonts w:ascii="微软雅黑" w:hAnsi="微软雅黑" w:eastAsia="微软雅黑"/>
          <w:sz w:val="18"/>
          <w:szCs w:val="18"/>
        </w:rPr>
        <w:t>健康告知</w:t>
      </w:r>
      <w:r>
        <w:rPr>
          <w:rFonts w:hint="eastAsia" w:ascii="微软雅黑" w:hAnsi="微软雅黑" w:eastAsia="微软雅黑"/>
          <w:sz w:val="18"/>
          <w:szCs w:val="18"/>
        </w:rPr>
        <w:t>，或虽不符合但经过</w:t>
      </w:r>
      <w:r>
        <w:rPr>
          <w:rFonts w:ascii="微软雅黑" w:hAnsi="微软雅黑" w:eastAsia="微软雅黑"/>
          <w:sz w:val="18"/>
          <w:szCs w:val="18"/>
        </w:rPr>
        <w:t>智能核保</w:t>
      </w:r>
      <w:r>
        <w:rPr>
          <w:rFonts w:hint="eastAsia" w:ascii="微软雅黑" w:hAnsi="微软雅黑" w:eastAsia="微软雅黑"/>
          <w:sz w:val="18"/>
          <w:szCs w:val="18"/>
        </w:rPr>
        <w:t>/人工核保后保险人接受投保，且保单未解约、退保</w:t>
      </w:r>
      <w:r>
        <w:rPr>
          <w:rFonts w:ascii="微软雅黑" w:hAnsi="微软雅黑" w:eastAsia="微软雅黑"/>
          <w:sz w:val="18"/>
          <w:szCs w:val="18"/>
        </w:rPr>
        <w:t>；</w:t>
      </w:r>
    </w:p>
    <w:p w14:paraId="131C72F7">
      <w:pPr>
        <w:pStyle w:val="5"/>
        <w:numPr>
          <w:ilvl w:val="0"/>
          <w:numId w:val="2"/>
        </w:numPr>
        <w:shd w:val="clear" w:color="auto" w:fill="FFFFFF"/>
        <w:spacing w:before="0" w:beforeAutospacing="0" w:after="0" w:afterAutospacing="0"/>
        <w:rPr>
          <w:rFonts w:hint="eastAsia" w:ascii="微软雅黑" w:hAnsi="微软雅黑" w:eastAsia="微软雅黑"/>
          <w:sz w:val="18"/>
          <w:szCs w:val="18"/>
        </w:rPr>
      </w:pPr>
      <w:r>
        <w:rPr>
          <w:rFonts w:ascii="微软雅黑" w:hAnsi="微软雅黑" w:eastAsia="微软雅黑"/>
          <w:sz w:val="18"/>
          <w:szCs w:val="18"/>
        </w:rPr>
        <w:t>非特定人群（如慢病、结节</w:t>
      </w:r>
      <w:r>
        <w:rPr>
          <w:rFonts w:hint="eastAsia" w:ascii="微软雅黑" w:hAnsi="微软雅黑" w:eastAsia="微软雅黑"/>
          <w:sz w:val="18"/>
          <w:szCs w:val="18"/>
        </w:rPr>
        <w:t>、肿瘤、特定疾病、孕产</w:t>
      </w:r>
      <w:r>
        <w:rPr>
          <w:rFonts w:ascii="微软雅黑" w:hAnsi="微软雅黑" w:eastAsia="微软雅黑"/>
          <w:sz w:val="18"/>
          <w:szCs w:val="18"/>
        </w:rPr>
        <w:t>）</w:t>
      </w:r>
      <w:r>
        <w:rPr>
          <w:rFonts w:hint="eastAsia" w:ascii="微软雅黑" w:hAnsi="微软雅黑" w:eastAsia="微软雅黑"/>
          <w:sz w:val="18"/>
          <w:szCs w:val="18"/>
        </w:rPr>
        <w:t>医疗保险</w:t>
      </w:r>
      <w:r>
        <w:rPr>
          <w:rFonts w:ascii="微软雅黑" w:hAnsi="微软雅黑" w:eastAsia="微软雅黑"/>
          <w:sz w:val="18"/>
          <w:szCs w:val="18"/>
        </w:rPr>
        <w:t>。</w:t>
      </w:r>
    </w:p>
    <w:p w14:paraId="45732E18">
      <w:pPr>
        <w:rPr>
          <w:rFonts w:hint="eastAsia" w:ascii="微软雅黑" w:hAnsi="微软雅黑" w:eastAsia="微软雅黑"/>
          <w:sz w:val="18"/>
          <w:szCs w:val="18"/>
        </w:rPr>
      </w:pPr>
    </w:p>
    <w:p w14:paraId="6EBC29AE">
      <w:pPr>
        <w:pStyle w:val="5"/>
        <w:shd w:val="clear" w:color="auto" w:fill="FFFFFF"/>
        <w:spacing w:before="0" w:beforeAutospacing="0" w:after="0" w:afterAutospacing="0"/>
        <w:rPr>
          <w:rFonts w:hint="eastAsia" w:ascii="微软雅黑" w:hAnsi="微软雅黑" w:eastAsia="微软雅黑"/>
          <w:sz w:val="18"/>
          <w:szCs w:val="18"/>
        </w:rPr>
      </w:pPr>
      <w:r>
        <w:rPr>
          <w:rStyle w:val="9"/>
          <w:rFonts w:ascii="微软雅黑" w:hAnsi="微软雅黑" w:eastAsia="微软雅黑"/>
          <w:sz w:val="18"/>
          <w:szCs w:val="18"/>
        </w:rPr>
        <w:t>下述情况，仍可正常</w:t>
      </w:r>
      <w:r>
        <w:rPr>
          <w:rStyle w:val="9"/>
          <w:rFonts w:hint="eastAsia" w:ascii="微软雅黑" w:hAnsi="微软雅黑" w:eastAsia="微软雅黑"/>
          <w:sz w:val="18"/>
          <w:szCs w:val="18"/>
        </w:rPr>
        <w:t>申请转保至本产品</w:t>
      </w:r>
      <w:r>
        <w:rPr>
          <w:rStyle w:val="9"/>
          <w:rFonts w:ascii="微软雅黑" w:hAnsi="微软雅黑" w:eastAsia="微软雅黑"/>
          <w:sz w:val="18"/>
          <w:szCs w:val="18"/>
        </w:rPr>
        <w:t>：</w:t>
      </w:r>
    </w:p>
    <w:p w14:paraId="4397E5AE">
      <w:pPr>
        <w:pStyle w:val="5"/>
        <w:numPr>
          <w:ilvl w:val="0"/>
          <w:numId w:val="3"/>
        </w:numPr>
        <w:shd w:val="clear" w:color="auto" w:fill="FFFFFF"/>
        <w:spacing w:before="0" w:beforeAutospacing="0" w:after="0" w:afterAutospacing="0"/>
        <w:rPr>
          <w:rFonts w:hint="eastAsia" w:ascii="微软雅黑" w:hAnsi="微软雅黑" w:eastAsia="微软雅黑"/>
          <w:sz w:val="18"/>
          <w:szCs w:val="18"/>
        </w:rPr>
      </w:pPr>
      <w:r>
        <w:rPr>
          <w:rFonts w:hint="eastAsia" w:ascii="微软雅黑" w:hAnsi="微软雅黑" w:eastAsia="微软雅黑"/>
          <w:sz w:val="18"/>
          <w:szCs w:val="18"/>
        </w:rPr>
        <w:t>妊娠分娩不伴有妊娠并发症或合并症，</w:t>
      </w:r>
      <w:r>
        <w:rPr>
          <w:rFonts w:ascii="微软雅黑" w:hAnsi="微软雅黑" w:eastAsia="微软雅黑"/>
          <w:sz w:val="18"/>
          <w:szCs w:val="18"/>
        </w:rPr>
        <w:t>宫外孕已治疗结束、流产（除葡萄胎以外）</w:t>
      </w:r>
      <w:r>
        <w:rPr>
          <w:rFonts w:hint="eastAsia" w:ascii="微软雅黑" w:hAnsi="微软雅黑" w:eastAsia="微软雅黑"/>
          <w:sz w:val="18"/>
          <w:szCs w:val="18"/>
        </w:rPr>
        <w:t xml:space="preserve">； </w:t>
      </w:r>
    </w:p>
    <w:p w14:paraId="35532C96">
      <w:pPr>
        <w:pStyle w:val="5"/>
        <w:numPr>
          <w:ilvl w:val="0"/>
          <w:numId w:val="3"/>
        </w:numPr>
        <w:shd w:val="clear" w:color="auto" w:fill="FFFFFF"/>
        <w:spacing w:before="0" w:beforeAutospacing="0" w:after="0" w:afterAutospacing="0"/>
        <w:rPr>
          <w:rFonts w:hint="eastAsia" w:ascii="微软雅黑" w:hAnsi="微软雅黑" w:eastAsia="微软雅黑"/>
          <w:sz w:val="18"/>
          <w:szCs w:val="18"/>
        </w:rPr>
      </w:pPr>
      <w:r>
        <w:rPr>
          <w:rFonts w:hint="eastAsia" w:ascii="微软雅黑" w:hAnsi="微软雅黑" w:eastAsia="微软雅黑"/>
          <w:sz w:val="18"/>
          <w:szCs w:val="18"/>
        </w:rPr>
        <w:t>急性上呼吸道感染、急性支气管炎、</w:t>
      </w:r>
      <w:r>
        <w:rPr>
          <w:rFonts w:ascii="微软雅黑" w:hAnsi="微软雅黑" w:eastAsia="微软雅黑"/>
          <w:sz w:val="18"/>
          <w:szCs w:val="18"/>
        </w:rPr>
        <w:t>支气管肺炎及大叶性肺炎</w:t>
      </w:r>
      <w:r>
        <w:rPr>
          <w:rFonts w:hint="eastAsia" w:ascii="微软雅黑" w:hAnsi="微软雅黑" w:eastAsia="微软雅黑"/>
          <w:sz w:val="18"/>
          <w:szCs w:val="18"/>
        </w:rPr>
        <w:t>，无并发症已痊愈且住院不超过3次/年；</w:t>
      </w:r>
    </w:p>
    <w:p w14:paraId="52E2514E">
      <w:pPr>
        <w:pStyle w:val="5"/>
        <w:numPr>
          <w:ilvl w:val="0"/>
          <w:numId w:val="3"/>
        </w:numPr>
        <w:shd w:val="clear" w:color="auto" w:fill="FFFFFF"/>
        <w:spacing w:before="0" w:beforeAutospacing="0" w:after="0" w:afterAutospacing="0"/>
        <w:rPr>
          <w:rFonts w:hint="eastAsia" w:ascii="微软雅黑" w:hAnsi="微软雅黑" w:eastAsia="微软雅黑"/>
          <w:sz w:val="18"/>
          <w:szCs w:val="18"/>
        </w:rPr>
      </w:pPr>
      <w:r>
        <w:rPr>
          <w:rFonts w:hint="eastAsia" w:ascii="微软雅黑" w:hAnsi="微软雅黑" w:eastAsia="微软雅黑"/>
          <w:sz w:val="18"/>
          <w:szCs w:val="18"/>
        </w:rPr>
        <w:t>急性阑尾炎已手术，急性胃肠炎（无慢性胃炎肠炎病史）；</w:t>
      </w:r>
    </w:p>
    <w:p w14:paraId="4F55FCDE">
      <w:pPr>
        <w:pStyle w:val="5"/>
        <w:numPr>
          <w:ilvl w:val="0"/>
          <w:numId w:val="3"/>
        </w:numPr>
        <w:shd w:val="clear" w:color="auto" w:fill="FFFFFF"/>
        <w:spacing w:before="0" w:beforeAutospacing="0" w:after="0" w:afterAutospacing="0"/>
        <w:rPr>
          <w:rFonts w:hint="eastAsia" w:ascii="微软雅黑" w:hAnsi="微软雅黑" w:eastAsia="微软雅黑"/>
          <w:sz w:val="18"/>
          <w:szCs w:val="18"/>
        </w:rPr>
      </w:pPr>
      <w:r>
        <w:rPr>
          <w:rFonts w:hint="eastAsia" w:ascii="微软雅黑" w:hAnsi="微软雅黑" w:eastAsia="微软雅黑"/>
          <w:sz w:val="18"/>
          <w:szCs w:val="18"/>
        </w:rPr>
        <w:t>上</w:t>
      </w:r>
      <w:r>
        <w:rPr>
          <w:rFonts w:ascii="微软雅黑" w:hAnsi="微软雅黑" w:eastAsia="微软雅黑"/>
          <w:sz w:val="18"/>
          <w:szCs w:val="18"/>
        </w:rPr>
        <w:t>/下肢骨折且已痊愈、意外受伤住院不超过5天且已痊愈（无后遗症或器官缺损）、软组织损伤；</w:t>
      </w:r>
    </w:p>
    <w:p w14:paraId="30D2C131">
      <w:pPr>
        <w:pStyle w:val="5"/>
        <w:numPr>
          <w:ilvl w:val="0"/>
          <w:numId w:val="3"/>
        </w:numPr>
        <w:shd w:val="clear" w:color="auto" w:fill="FFFFFF"/>
        <w:spacing w:before="0" w:beforeAutospacing="0" w:after="0" w:afterAutospacing="0"/>
        <w:rPr>
          <w:rFonts w:hint="eastAsia" w:ascii="微软雅黑" w:hAnsi="微软雅黑" w:eastAsia="微软雅黑"/>
          <w:sz w:val="18"/>
          <w:szCs w:val="18"/>
        </w:rPr>
      </w:pPr>
      <w:r>
        <w:rPr>
          <w:rFonts w:hint="eastAsia" w:ascii="微软雅黑" w:hAnsi="微软雅黑" w:eastAsia="微软雅黑"/>
          <w:sz w:val="18"/>
          <w:szCs w:val="18"/>
        </w:rPr>
        <w:t xml:space="preserve">外伤（非颅脑外伤、非多发外伤，且住院不超过5天）已痊愈，无需后续治疗，无后遗症、未遗留残障； </w:t>
      </w:r>
    </w:p>
    <w:p w14:paraId="204A47E6">
      <w:pPr>
        <w:pStyle w:val="5"/>
        <w:numPr>
          <w:ilvl w:val="0"/>
          <w:numId w:val="3"/>
        </w:numPr>
        <w:shd w:val="clear" w:color="auto" w:fill="FFFFFF"/>
        <w:spacing w:before="0" w:beforeAutospacing="0" w:after="0" w:afterAutospacing="0"/>
        <w:rPr>
          <w:rFonts w:hint="eastAsia" w:ascii="微软雅黑" w:hAnsi="微软雅黑" w:eastAsia="微软雅黑"/>
          <w:sz w:val="18"/>
          <w:szCs w:val="18"/>
        </w:rPr>
      </w:pPr>
      <w:r>
        <w:rPr>
          <w:rFonts w:ascii="微软雅黑" w:hAnsi="微软雅黑" w:eastAsia="微软雅黑"/>
          <w:sz w:val="18"/>
          <w:szCs w:val="18"/>
        </w:rPr>
        <w:t>鞘膜积液（已手术治愈）、包皮手术；</w:t>
      </w:r>
    </w:p>
    <w:p w14:paraId="5CB506E3">
      <w:pPr>
        <w:pStyle w:val="5"/>
        <w:numPr>
          <w:ilvl w:val="0"/>
          <w:numId w:val="3"/>
        </w:numPr>
        <w:shd w:val="clear" w:color="auto" w:fill="FFFFFF"/>
        <w:spacing w:before="0" w:beforeAutospacing="0" w:after="0" w:afterAutospacing="0"/>
        <w:rPr>
          <w:rFonts w:hint="eastAsia" w:ascii="微软雅黑" w:hAnsi="微软雅黑" w:eastAsia="微软雅黑"/>
          <w:sz w:val="18"/>
          <w:szCs w:val="18"/>
        </w:rPr>
      </w:pPr>
      <w:r>
        <w:rPr>
          <w:rFonts w:hint="eastAsia" w:ascii="微软雅黑" w:hAnsi="微软雅黑" w:eastAsia="微软雅黑"/>
          <w:sz w:val="18"/>
          <w:szCs w:val="18"/>
        </w:rPr>
        <w:t>痤疮、湿疹、荨麻疹、皮炎、美容；</w:t>
      </w:r>
    </w:p>
    <w:p w14:paraId="27D6257B">
      <w:pPr>
        <w:pStyle w:val="5"/>
        <w:numPr>
          <w:ilvl w:val="0"/>
          <w:numId w:val="3"/>
        </w:numPr>
        <w:shd w:val="clear" w:color="auto" w:fill="FFFFFF"/>
        <w:spacing w:before="0" w:beforeAutospacing="0" w:after="0" w:afterAutospacing="0"/>
        <w:rPr>
          <w:rFonts w:hint="eastAsia" w:ascii="微软雅黑" w:hAnsi="微软雅黑" w:eastAsia="微软雅黑"/>
          <w:sz w:val="18"/>
          <w:szCs w:val="18"/>
        </w:rPr>
      </w:pPr>
      <w:r>
        <w:rPr>
          <w:rFonts w:hint="eastAsia" w:ascii="微软雅黑" w:hAnsi="微软雅黑" w:eastAsia="微软雅黑"/>
          <w:sz w:val="18"/>
          <w:szCs w:val="18"/>
        </w:rPr>
        <w:t>新生儿黄疸（未被诊断为病理性黄疸）已痊愈无其他并发症、疫苗接种。</w:t>
      </w:r>
    </w:p>
    <w:p w14:paraId="56596BE4">
      <w:pPr>
        <w:rPr>
          <w:rFonts w:hint="eastAsia" w:ascii="微软雅黑" w:hAnsi="微软雅黑" w:eastAsia="微软雅黑"/>
          <w:sz w:val="18"/>
          <w:szCs w:val="18"/>
        </w:rPr>
      </w:pPr>
    </w:p>
    <w:p w14:paraId="16C7E8ED">
      <w:pPr>
        <w:rPr>
          <w:rFonts w:hint="eastAsia" w:ascii="微软雅黑" w:hAnsi="微软雅黑" w:eastAsia="微软雅黑"/>
          <w:sz w:val="18"/>
          <w:szCs w:val="18"/>
        </w:rPr>
      </w:pPr>
    </w:p>
    <w:p w14:paraId="3AA8A7A5">
      <w:pPr>
        <w:rPr>
          <w:rFonts w:hint="eastAsia" w:ascii="微软雅黑" w:hAnsi="微软雅黑" w:eastAsia="微软雅黑"/>
          <w:b/>
          <w:bCs/>
          <w:sz w:val="22"/>
          <w:szCs w:val="22"/>
        </w:rPr>
      </w:pPr>
      <w:r>
        <w:rPr>
          <w:rFonts w:hint="eastAsia" w:ascii="微软雅黑" w:hAnsi="微软雅黑" w:eastAsia="微软雅黑"/>
          <w:b/>
          <w:bCs/>
          <w:sz w:val="22"/>
          <w:szCs w:val="22"/>
        </w:rPr>
        <w:t>部分为是：可接入智核                              全部为否：可选任意方案投保</w:t>
      </w:r>
    </w:p>
    <w:tbl>
      <w:tblPr>
        <w:tblStyle w:val="7"/>
        <w:tblpPr w:leftFromText="180" w:rightFromText="180" w:vertAnchor="text" w:horzAnchor="margin" w:tblpY="152"/>
        <w:tblOverlap w:val="never"/>
        <w:tblW w:w="9356" w:type="dxa"/>
        <w:tblInd w:w="0" w:type="dxa"/>
        <w:tblLayout w:type="autofit"/>
        <w:tblCellMar>
          <w:top w:w="15" w:type="dxa"/>
          <w:left w:w="15" w:type="dxa"/>
          <w:bottom w:w="15" w:type="dxa"/>
          <w:right w:w="15" w:type="dxa"/>
        </w:tblCellMar>
      </w:tblPr>
      <w:tblGrid>
        <w:gridCol w:w="1413"/>
        <w:gridCol w:w="7943"/>
      </w:tblGrid>
      <w:tr w14:paraId="33D84D2B">
        <w:tblPrEx>
          <w:tblCellMar>
            <w:top w:w="15" w:type="dxa"/>
            <w:left w:w="15" w:type="dxa"/>
            <w:bottom w:w="15" w:type="dxa"/>
            <w:right w:w="15" w:type="dxa"/>
          </w:tblCellMar>
        </w:tblPrEx>
        <w:trPr>
          <w:trHeight w:val="285" w:hRule="atLeast"/>
        </w:trPr>
        <w:tc>
          <w:tcPr>
            <w:tcW w:w="9356" w:type="dxa"/>
            <w:gridSpan w:val="2"/>
            <w:tcBorders>
              <w:top w:val="single" w:color="000000" w:sz="4" w:space="0"/>
              <w:left w:val="single" w:color="000000" w:sz="4" w:space="0"/>
              <w:bottom w:val="single" w:color="000000" w:sz="4" w:space="0"/>
              <w:right w:val="single" w:color="000000" w:sz="4" w:space="0"/>
            </w:tcBorders>
            <w:vAlign w:val="center"/>
          </w:tcPr>
          <w:p w14:paraId="73342E12">
            <w:pPr>
              <w:jc w:val="center"/>
              <w:rPr>
                <w:rFonts w:hint="eastAsia" w:ascii="微软雅黑" w:hAnsi="微软雅黑" w:eastAsia="微软雅黑" w:cs="微软雅黑 Light"/>
                <w:sz w:val="18"/>
                <w:szCs w:val="18"/>
              </w:rPr>
            </w:pPr>
            <w:r>
              <w:rPr>
                <w:rFonts w:hint="eastAsia" w:ascii="微软雅黑" w:hAnsi="微软雅黑" w:eastAsia="微软雅黑" w:cs="微软雅黑 Light"/>
                <w:b/>
                <w:kern w:val="0"/>
                <w:sz w:val="18"/>
                <w:szCs w:val="18"/>
              </w:rPr>
              <w:t>释义</w:t>
            </w:r>
          </w:p>
        </w:tc>
      </w:tr>
      <w:tr w14:paraId="3E57ACDE">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48FCFC3A">
            <w:pPr>
              <w:rPr>
                <w:rFonts w:hint="eastAsia" w:ascii="微软雅黑" w:hAnsi="微软雅黑" w:eastAsia="微软雅黑" w:cs="微软雅黑 Light"/>
                <w:sz w:val="18"/>
                <w:szCs w:val="18"/>
              </w:rPr>
            </w:pPr>
            <w:r>
              <w:rPr>
                <w:rFonts w:ascii="微软雅黑" w:hAnsi="微软雅黑" w:eastAsia="微软雅黑" w:cs="微软雅黑 Light"/>
                <w:sz w:val="18"/>
                <w:szCs w:val="18"/>
              </w:rPr>
              <w:t>肿瘤标志物</w:t>
            </w:r>
          </w:p>
        </w:tc>
        <w:tc>
          <w:tcPr>
            <w:tcW w:w="7943" w:type="dxa"/>
            <w:tcBorders>
              <w:top w:val="single" w:color="000000" w:sz="4" w:space="0"/>
              <w:left w:val="single" w:color="000000" w:sz="4" w:space="0"/>
              <w:bottom w:val="single" w:color="000000" w:sz="4" w:space="0"/>
              <w:right w:val="single" w:color="000000" w:sz="4" w:space="0"/>
            </w:tcBorders>
            <w:vAlign w:val="center"/>
          </w:tcPr>
          <w:p w14:paraId="2C651EB4">
            <w:pPr>
              <w:rPr>
                <w:rFonts w:hint="eastAsia" w:ascii="微软雅黑" w:hAnsi="微软雅黑" w:eastAsia="微软雅黑" w:cs="微软雅黑 Light"/>
                <w:sz w:val="18"/>
                <w:szCs w:val="18"/>
              </w:rPr>
            </w:pPr>
            <w:r>
              <w:rPr>
                <w:rFonts w:ascii="微软雅黑" w:hAnsi="微软雅黑" w:eastAsia="微软雅黑" w:cs="微软雅黑 Light"/>
                <w:sz w:val="18"/>
                <w:szCs w:val="18"/>
              </w:rPr>
              <w:t>肿瘤标志物是指肿瘤发生发展过程中，由肿瘤细胞合成、释放，或是人体对肿瘤反应性释放的一类物质。包括：甲胎蛋白（AFP），癌胚抗原（CEA），前列腺特异性抗原（PSA），癌抗原125（CA125），癌抗原199（CA199），癌抗原153（CA153），癌抗原50（CA50），糖类抗原242（CA242），胃癌相关抗原（CA724），神经元特异性烯醇化酶（NSE），鳞状细胞癌抗原（SCCA），核基质蛋白-22（NMP-22），α-L-岩藻糖苷酶（AFU），细胞角蛋白(CYFRA21-1)，组织多肽抗原（TPA），肿瘤特异性生长因子(TSGF)，胃泌素释放肽前体（ProGRP）。</w:t>
            </w:r>
          </w:p>
        </w:tc>
      </w:tr>
    </w:tbl>
    <w:p w14:paraId="448F9372">
      <w:pPr>
        <w:rPr>
          <w:rFonts w:hint="eastAsia" w:ascii="微软雅黑" w:hAnsi="微软雅黑" w:eastAsia="微软雅黑"/>
          <w:b/>
          <w:bCs/>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微软雅黑 Light">
    <w:panose1 w:val="020B0502040204020203"/>
    <w:charset w:val="86"/>
    <w:family w:val="swiss"/>
    <w:pitch w:val="default"/>
    <w:sig w:usb0="80000287" w:usb1="2ACF001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F792EE"/>
    <w:multiLevelType w:val="singleLevel"/>
    <w:tmpl w:val="DDF792EE"/>
    <w:lvl w:ilvl="0" w:tentative="0">
      <w:start w:val="1"/>
      <w:numFmt w:val="decimal"/>
      <w:suff w:val="nothing"/>
      <w:lvlText w:val="%1、"/>
      <w:lvlJc w:val="left"/>
      <w:rPr>
        <w:b/>
        <w:bCs/>
      </w:rPr>
    </w:lvl>
  </w:abstractNum>
  <w:abstractNum w:abstractNumId="1">
    <w:nsid w:val="37AC0BE5"/>
    <w:multiLevelType w:val="multilevel"/>
    <w:tmpl w:val="37AC0BE5"/>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59C93438"/>
    <w:multiLevelType w:val="multilevel"/>
    <w:tmpl w:val="59C93438"/>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FjN2NjYjJiNjM2ZWMwNDdhNjZlZjNiMjE4YjY5YzMifQ=="/>
  </w:docVars>
  <w:rsids>
    <w:rsidRoot w:val="000A3CEF"/>
    <w:rsid w:val="00027E23"/>
    <w:rsid w:val="00056181"/>
    <w:rsid w:val="000627CC"/>
    <w:rsid w:val="0009041F"/>
    <w:rsid w:val="000948CC"/>
    <w:rsid w:val="00096F99"/>
    <w:rsid w:val="000A3CEF"/>
    <w:rsid w:val="000B2AB5"/>
    <w:rsid w:val="00102801"/>
    <w:rsid w:val="00102CA1"/>
    <w:rsid w:val="0013623C"/>
    <w:rsid w:val="0015197B"/>
    <w:rsid w:val="00162E9D"/>
    <w:rsid w:val="00163936"/>
    <w:rsid w:val="00171C49"/>
    <w:rsid w:val="001737D8"/>
    <w:rsid w:val="00183612"/>
    <w:rsid w:val="00195712"/>
    <w:rsid w:val="001C3CD5"/>
    <w:rsid w:val="001C5CDE"/>
    <w:rsid w:val="001D0F6E"/>
    <w:rsid w:val="001D6EF5"/>
    <w:rsid w:val="00211D0F"/>
    <w:rsid w:val="002262EF"/>
    <w:rsid w:val="00243F8A"/>
    <w:rsid w:val="00273FED"/>
    <w:rsid w:val="00275F6F"/>
    <w:rsid w:val="0028056C"/>
    <w:rsid w:val="00280AD6"/>
    <w:rsid w:val="002A1588"/>
    <w:rsid w:val="002A4394"/>
    <w:rsid w:val="002B1352"/>
    <w:rsid w:val="002D366D"/>
    <w:rsid w:val="002D79AE"/>
    <w:rsid w:val="002E0B9A"/>
    <w:rsid w:val="002E604F"/>
    <w:rsid w:val="002F5E68"/>
    <w:rsid w:val="00320524"/>
    <w:rsid w:val="003349BB"/>
    <w:rsid w:val="00344D91"/>
    <w:rsid w:val="00360A3B"/>
    <w:rsid w:val="00364928"/>
    <w:rsid w:val="00366E3F"/>
    <w:rsid w:val="003C3A70"/>
    <w:rsid w:val="003D1918"/>
    <w:rsid w:val="003E673F"/>
    <w:rsid w:val="00405919"/>
    <w:rsid w:val="0044405B"/>
    <w:rsid w:val="00450D48"/>
    <w:rsid w:val="00460DA1"/>
    <w:rsid w:val="00470246"/>
    <w:rsid w:val="00491F43"/>
    <w:rsid w:val="0049700D"/>
    <w:rsid w:val="004D2C50"/>
    <w:rsid w:val="004E1134"/>
    <w:rsid w:val="004E1D2F"/>
    <w:rsid w:val="004E54B9"/>
    <w:rsid w:val="004F61C3"/>
    <w:rsid w:val="00505035"/>
    <w:rsid w:val="005147B6"/>
    <w:rsid w:val="00542A74"/>
    <w:rsid w:val="00546347"/>
    <w:rsid w:val="00582043"/>
    <w:rsid w:val="005A4FED"/>
    <w:rsid w:val="005B6463"/>
    <w:rsid w:val="005C1BD8"/>
    <w:rsid w:val="005C2607"/>
    <w:rsid w:val="005D0A9F"/>
    <w:rsid w:val="005D46D0"/>
    <w:rsid w:val="005E35A7"/>
    <w:rsid w:val="005F6091"/>
    <w:rsid w:val="00602791"/>
    <w:rsid w:val="0060729C"/>
    <w:rsid w:val="00643183"/>
    <w:rsid w:val="00662793"/>
    <w:rsid w:val="006664E3"/>
    <w:rsid w:val="00692EB7"/>
    <w:rsid w:val="006C3FE3"/>
    <w:rsid w:val="006D7E6F"/>
    <w:rsid w:val="006E3D21"/>
    <w:rsid w:val="006E65E0"/>
    <w:rsid w:val="006F4010"/>
    <w:rsid w:val="00724133"/>
    <w:rsid w:val="00730805"/>
    <w:rsid w:val="00755D8D"/>
    <w:rsid w:val="007566BF"/>
    <w:rsid w:val="00761C92"/>
    <w:rsid w:val="00774037"/>
    <w:rsid w:val="0078063A"/>
    <w:rsid w:val="007A143D"/>
    <w:rsid w:val="007F3BF1"/>
    <w:rsid w:val="007F75A2"/>
    <w:rsid w:val="00800EC0"/>
    <w:rsid w:val="00801C09"/>
    <w:rsid w:val="008160F8"/>
    <w:rsid w:val="00817586"/>
    <w:rsid w:val="00835C56"/>
    <w:rsid w:val="00844761"/>
    <w:rsid w:val="0084620F"/>
    <w:rsid w:val="00853466"/>
    <w:rsid w:val="00854523"/>
    <w:rsid w:val="00855137"/>
    <w:rsid w:val="008639BA"/>
    <w:rsid w:val="00866731"/>
    <w:rsid w:val="008667E7"/>
    <w:rsid w:val="00871880"/>
    <w:rsid w:val="008A721F"/>
    <w:rsid w:val="008A7F47"/>
    <w:rsid w:val="008D3260"/>
    <w:rsid w:val="008D63F5"/>
    <w:rsid w:val="008E22EA"/>
    <w:rsid w:val="009000EA"/>
    <w:rsid w:val="00902FE6"/>
    <w:rsid w:val="00922335"/>
    <w:rsid w:val="00936897"/>
    <w:rsid w:val="00943534"/>
    <w:rsid w:val="00943540"/>
    <w:rsid w:val="0095625A"/>
    <w:rsid w:val="0095770D"/>
    <w:rsid w:val="0098468E"/>
    <w:rsid w:val="009B4BA4"/>
    <w:rsid w:val="009C1A7D"/>
    <w:rsid w:val="009C41B2"/>
    <w:rsid w:val="009D20EA"/>
    <w:rsid w:val="009D2EA9"/>
    <w:rsid w:val="009F52EF"/>
    <w:rsid w:val="00A07305"/>
    <w:rsid w:val="00A07AD7"/>
    <w:rsid w:val="00A104DC"/>
    <w:rsid w:val="00A12745"/>
    <w:rsid w:val="00A326D4"/>
    <w:rsid w:val="00A43D39"/>
    <w:rsid w:val="00A4408E"/>
    <w:rsid w:val="00A53678"/>
    <w:rsid w:val="00A93574"/>
    <w:rsid w:val="00AA02CB"/>
    <w:rsid w:val="00AA62BE"/>
    <w:rsid w:val="00AB74C5"/>
    <w:rsid w:val="00AE4630"/>
    <w:rsid w:val="00AE469D"/>
    <w:rsid w:val="00B00528"/>
    <w:rsid w:val="00B00CD1"/>
    <w:rsid w:val="00B4148C"/>
    <w:rsid w:val="00B50FED"/>
    <w:rsid w:val="00B632C8"/>
    <w:rsid w:val="00B810C4"/>
    <w:rsid w:val="00B95B2A"/>
    <w:rsid w:val="00BA26A4"/>
    <w:rsid w:val="00BD4803"/>
    <w:rsid w:val="00BE35B5"/>
    <w:rsid w:val="00BE6758"/>
    <w:rsid w:val="00BF0499"/>
    <w:rsid w:val="00C312DC"/>
    <w:rsid w:val="00C45197"/>
    <w:rsid w:val="00C5425F"/>
    <w:rsid w:val="00C55BB6"/>
    <w:rsid w:val="00C7367D"/>
    <w:rsid w:val="00C936CC"/>
    <w:rsid w:val="00CA5537"/>
    <w:rsid w:val="00CB3D3B"/>
    <w:rsid w:val="00CF0C55"/>
    <w:rsid w:val="00D07ECF"/>
    <w:rsid w:val="00D134F0"/>
    <w:rsid w:val="00D25A6D"/>
    <w:rsid w:val="00D26260"/>
    <w:rsid w:val="00D9259E"/>
    <w:rsid w:val="00DA1495"/>
    <w:rsid w:val="00DA7348"/>
    <w:rsid w:val="00DD31A0"/>
    <w:rsid w:val="00DD7112"/>
    <w:rsid w:val="00DD779B"/>
    <w:rsid w:val="00DF0873"/>
    <w:rsid w:val="00DF3387"/>
    <w:rsid w:val="00DF36FB"/>
    <w:rsid w:val="00DF4717"/>
    <w:rsid w:val="00E00A55"/>
    <w:rsid w:val="00E019AC"/>
    <w:rsid w:val="00E25B4B"/>
    <w:rsid w:val="00E276C2"/>
    <w:rsid w:val="00E3416C"/>
    <w:rsid w:val="00E506A3"/>
    <w:rsid w:val="00E54D15"/>
    <w:rsid w:val="00E62775"/>
    <w:rsid w:val="00E766DC"/>
    <w:rsid w:val="00E8080C"/>
    <w:rsid w:val="00E93831"/>
    <w:rsid w:val="00E97656"/>
    <w:rsid w:val="00EB0DFD"/>
    <w:rsid w:val="00EB405F"/>
    <w:rsid w:val="00EB50E3"/>
    <w:rsid w:val="00EC752C"/>
    <w:rsid w:val="00EE51B1"/>
    <w:rsid w:val="00F07688"/>
    <w:rsid w:val="00F10EAC"/>
    <w:rsid w:val="00F3742E"/>
    <w:rsid w:val="00F46E11"/>
    <w:rsid w:val="00F661CC"/>
    <w:rsid w:val="00FA18BB"/>
    <w:rsid w:val="00FA62F2"/>
    <w:rsid w:val="00FB3844"/>
    <w:rsid w:val="00FE1FCB"/>
    <w:rsid w:val="00FE7B02"/>
    <w:rsid w:val="00FF4D18"/>
    <w:rsid w:val="025F71A4"/>
    <w:rsid w:val="0C7913C6"/>
    <w:rsid w:val="118B7CD4"/>
    <w:rsid w:val="14D47131"/>
    <w:rsid w:val="20376FD7"/>
    <w:rsid w:val="38591578"/>
    <w:rsid w:val="4A474FF3"/>
    <w:rsid w:val="4BC35B35"/>
    <w:rsid w:val="53DE5824"/>
    <w:rsid w:val="5C926D7E"/>
    <w:rsid w:val="680D5840"/>
    <w:rsid w:val="69205E39"/>
    <w:rsid w:val="766B3D9B"/>
    <w:rsid w:val="7BCA6C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unhideWhenUsed/>
    <w:qFormat/>
    <w:uiPriority w:val="99"/>
    <w:pPr>
      <w:jc w:val="left"/>
    </w:pPr>
  </w:style>
  <w:style w:type="paragraph" w:styleId="3">
    <w:name w:val="footer"/>
    <w:basedOn w:val="1"/>
    <w:link w:val="17"/>
    <w:unhideWhenUsed/>
    <w:qFormat/>
    <w:uiPriority w:val="99"/>
    <w:pPr>
      <w:tabs>
        <w:tab w:val="center" w:pos="4153"/>
        <w:tab w:val="right" w:pos="8306"/>
      </w:tabs>
      <w:snapToGrid w:val="0"/>
      <w:jc w:val="left"/>
    </w:pPr>
    <w:rPr>
      <w:sz w:val="18"/>
      <w:szCs w:val="18"/>
    </w:rPr>
  </w:style>
  <w:style w:type="paragraph" w:styleId="4">
    <w:name w:val="header"/>
    <w:basedOn w:val="1"/>
    <w:link w:val="16"/>
    <w:unhideWhenUsed/>
    <w:qFormat/>
    <w:uiPriority w:val="99"/>
    <w:pP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paragraph" w:styleId="6">
    <w:name w:val="annotation subject"/>
    <w:basedOn w:val="2"/>
    <w:next w:val="2"/>
    <w:link w:val="13"/>
    <w:semiHidden/>
    <w:unhideWhenUsed/>
    <w:qFormat/>
    <w:uiPriority w:val="99"/>
    <w:rPr>
      <w:b/>
      <w:bCs/>
    </w:rPr>
  </w:style>
  <w:style w:type="character" w:styleId="9">
    <w:name w:val="Strong"/>
    <w:basedOn w:val="8"/>
    <w:qFormat/>
    <w:uiPriority w:val="22"/>
    <w:rPr>
      <w:b/>
      <w:bCs/>
    </w:rPr>
  </w:style>
  <w:style w:type="character" w:styleId="10">
    <w:name w:val="annotation reference"/>
    <w:basedOn w:val="8"/>
    <w:semiHidden/>
    <w:unhideWhenUsed/>
    <w:qFormat/>
    <w:uiPriority w:val="99"/>
    <w:rPr>
      <w:sz w:val="21"/>
      <w:szCs w:val="21"/>
    </w:rPr>
  </w:style>
  <w:style w:type="paragraph" w:customStyle="1" w:styleId="11">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2">
    <w:name w:val="批注文字 字符"/>
    <w:basedOn w:val="8"/>
    <w:link w:val="2"/>
    <w:qFormat/>
    <w:uiPriority w:val="99"/>
  </w:style>
  <w:style w:type="character" w:customStyle="1" w:styleId="13">
    <w:name w:val="批注主题 字符"/>
    <w:basedOn w:val="12"/>
    <w:link w:val="6"/>
    <w:semiHidden/>
    <w:qFormat/>
    <w:uiPriority w:val="99"/>
    <w:rPr>
      <w:b/>
      <w:bCs/>
    </w:rPr>
  </w:style>
  <w:style w:type="paragraph" w:customStyle="1" w:styleId="14">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15">
    <w:name w:val="修订3"/>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6">
    <w:name w:val="页眉 字符"/>
    <w:basedOn w:val="8"/>
    <w:link w:val="4"/>
    <w:qFormat/>
    <w:uiPriority w:val="99"/>
    <w:rPr>
      <w:rFonts w:asciiTheme="minorHAnsi" w:hAnsiTheme="minorHAnsi" w:eastAsiaTheme="minorEastAsia" w:cstheme="minorBidi"/>
      <w:kern w:val="2"/>
      <w:sz w:val="18"/>
      <w:szCs w:val="18"/>
    </w:rPr>
  </w:style>
  <w:style w:type="character" w:customStyle="1" w:styleId="17">
    <w:name w:val="页脚 字符"/>
    <w:basedOn w:val="8"/>
    <w:link w:val="3"/>
    <w:qFormat/>
    <w:uiPriority w:val="99"/>
    <w:rPr>
      <w:rFonts w:asciiTheme="minorHAnsi" w:hAnsiTheme="minorHAnsi" w:eastAsiaTheme="minorEastAsia" w:cstheme="minorBidi"/>
      <w:kern w:val="2"/>
      <w:sz w:val="18"/>
      <w:szCs w:val="18"/>
    </w:rPr>
  </w:style>
  <w:style w:type="paragraph" w:customStyle="1" w:styleId="18">
    <w:name w:val="修订4"/>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19">
    <w:name w:val="修订5"/>
    <w:hidden/>
    <w:unhideWhenUsed/>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215</Words>
  <Characters>1231</Characters>
  <Lines>10</Lines>
  <Paragraphs>2</Paragraphs>
  <TotalTime>2</TotalTime>
  <ScaleCrop>false</ScaleCrop>
  <LinksUpToDate>false</LinksUpToDate>
  <CharactersWithSpaces>1444</CharactersWithSpaces>
  <Application>WPS Office_12.8.2.17148_F1E327BC-269C-435d-A152-05C5408002CA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2024-06-07T09:27:00Z</dcterms:created>
  <dc:creator>Microsoft Office User</dc:creator>
  <cp:lastModifiedBy>yanyuecheng</cp:lastModifiedBy>
  <dcterms:modified xsi:type="dcterms:W3CDTF">2025-11-17T08:42:08Z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2052-12.8.2.17148</vt:lpwstr>
  </property>
  <property fmtid="{D5CDD505-2E9C-101B-9397-08002B2CF9AE}" pid="3" name="ICV">
    <vt:lpwstr>94383EFDA8EB4C41BEE39003E41B5E85_13</vt:lpwstr>
  </property>
</Properties>
</file>